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77777777" w:rsidR="00EF0707" w:rsidRPr="0009768A" w:rsidRDefault="00D90C7D" w:rsidP="00B7203D">
      <w:pPr>
        <w:pStyle w:val="KeinLeerraum"/>
        <w:jc w:val="center"/>
        <w:rPr>
          <w:b/>
          <w:bCs/>
          <w:color w:val="2E74B5" w:themeColor="accent5" w:themeShade="BF"/>
          <w:sz w:val="36"/>
          <w:szCs w:val="36"/>
          <w:lang w:val="es-ES"/>
        </w:rPr>
      </w:pPr>
      <w:r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2D303988"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INDPVB</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4B23D22"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Praga </w:t>
      </w:r>
    </w:p>
    <w:p w14:paraId="571317F5" w14:textId="181E7986"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 Praga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5B16143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FC0B31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3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7CAF971E"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4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1D7481A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5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3AAAF393" w14:textId="0755C287"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6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0E3729CB"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7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222C9521" w14:textId="4652FB99"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Resto del día libre y alojamiento  </w:t>
      </w:r>
    </w:p>
    <w:p w14:paraId="70B35CCE" w14:textId="64264E28" w:rsidR="0009768A" w:rsidRPr="00750991" w:rsidRDefault="0009768A" w:rsidP="0009768A">
      <w:pPr>
        <w:pStyle w:val="KeinLeerraum"/>
        <w:jc w:val="center"/>
        <w:rPr>
          <w:rFonts w:cstheme="minorHAnsi"/>
          <w:color w:val="002060"/>
          <w:lang w:val="es-MX"/>
        </w:rPr>
      </w:pPr>
      <w:r w:rsidRPr="00750991">
        <w:rPr>
          <w:noProof/>
          <w:lang w:val="es-MX"/>
        </w:rPr>
        <w:lastRenderedPageBreak/>
        <w:drawing>
          <wp:inline distT="0" distB="0" distL="0" distR="0" wp14:anchorId="2C9130EB" wp14:editId="590E7FC9">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51D3B52" w14:textId="45D353F7" w:rsidR="0009768A" w:rsidRPr="00750991" w:rsidRDefault="0009768A" w:rsidP="0009768A">
      <w:pPr>
        <w:pStyle w:val="KeinLeerraum"/>
        <w:jc w:val="center"/>
        <w:rPr>
          <w:rFonts w:cstheme="minorHAnsi"/>
          <w:color w:val="002060"/>
          <w:lang w:val="es-MX"/>
        </w:rPr>
      </w:pPr>
    </w:p>
    <w:p w14:paraId="3836C750" w14:textId="77777777" w:rsidR="0009768A" w:rsidRPr="00750991" w:rsidRDefault="0009768A" w:rsidP="00EF0707">
      <w:pPr>
        <w:pStyle w:val="KeinLeerraum"/>
        <w:rPr>
          <w:rFonts w:cstheme="minorHAnsi"/>
          <w:b/>
          <w:bCs/>
          <w:color w:val="2E74B5" w:themeColor="accent5" w:themeShade="BF"/>
          <w:lang w:val="es-MX"/>
        </w:rPr>
      </w:pPr>
    </w:p>
    <w:p w14:paraId="3BB9D520" w14:textId="387D773E"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E88379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77777777"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Praga: Grand Majestic * * * *  </w:t>
      </w:r>
    </w:p>
    <w:p w14:paraId="04DB3721" w14:textId="77777777" w:rsidR="00EF0707" w:rsidRPr="00750991" w:rsidRDefault="00EF0707" w:rsidP="00EF0707">
      <w:pPr>
        <w:pStyle w:val="KeinLeerraum"/>
        <w:rPr>
          <w:rFonts w:cstheme="minorHAnsi"/>
          <w:color w:val="002060"/>
          <w:lang w:val="es-MX"/>
        </w:rPr>
      </w:pPr>
      <w:r w:rsidRPr="00750991">
        <w:rPr>
          <w:rFonts w:cstheme="minorHAnsi"/>
          <w:color w:val="002060"/>
          <w:lang w:val="es-MX"/>
        </w:rPr>
        <w:t>Viena: Am Konzerthaus * * * *</w:t>
      </w:r>
    </w:p>
    <w:p w14:paraId="68DEB30B" w14:textId="4EB1508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Budapest: </w:t>
      </w:r>
      <w:r w:rsidR="00AE66DD">
        <w:rPr>
          <w:rFonts w:cstheme="minorHAnsi"/>
          <w:color w:val="002060"/>
          <w:lang w:val="es-MX"/>
        </w:rPr>
        <w:t>Boho</w:t>
      </w:r>
      <w:r w:rsidRPr="00750991">
        <w:rPr>
          <w:rFonts w:cstheme="minorHAnsi"/>
          <w:color w:val="002060"/>
          <w:lang w:val="es-MX"/>
        </w:rPr>
        <w:t xml:space="preserve"> * * * *</w:t>
      </w: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8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7652D1D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1B37FA">
        <w:rPr>
          <w:rFonts w:cstheme="minorHAnsi"/>
          <w:color w:val="002060"/>
          <w:lang w:val="es-ES"/>
        </w:rPr>
        <w:t>256</w:t>
      </w:r>
      <w:r w:rsidR="00750991" w:rsidRPr="001B37FA">
        <w:rPr>
          <w:rFonts w:cstheme="minorHAnsi"/>
          <w:color w:val="002060"/>
          <w:lang w:val="es-ES"/>
        </w:rPr>
        <w:t>0, –</w:t>
      </w:r>
    </w:p>
    <w:p w14:paraId="3DA060EC" w14:textId="1D147BA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1B37FA">
        <w:rPr>
          <w:rFonts w:cstheme="minorHAnsi"/>
          <w:color w:val="002060"/>
          <w:lang w:val="es-ES"/>
        </w:rPr>
        <w:t>2</w:t>
      </w:r>
      <w:r w:rsidR="00750991" w:rsidRPr="001B37FA">
        <w:rPr>
          <w:rFonts w:cstheme="minorHAnsi"/>
          <w:color w:val="002060"/>
          <w:lang w:val="es-ES"/>
        </w:rPr>
        <w:t>920, –</w:t>
      </w:r>
    </w:p>
    <w:p w14:paraId="4CB31374" w14:textId="358A90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1B37FA">
        <w:rPr>
          <w:rFonts w:cstheme="minorHAnsi"/>
          <w:color w:val="002060"/>
          <w:lang w:val="es-ES"/>
        </w:rPr>
        <w:t>3280</w:t>
      </w:r>
      <w:r w:rsidR="00750991" w:rsidRPr="001B37FA">
        <w:rPr>
          <w:rFonts w:cstheme="minorHAnsi"/>
          <w:color w:val="002060"/>
          <w:lang w:val="es-ES"/>
        </w:rPr>
        <w:t>, –</w:t>
      </w:r>
    </w:p>
    <w:p w14:paraId="0CFE1B31" w14:textId="736E809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1B37FA">
        <w:rPr>
          <w:rFonts w:cstheme="minorHAnsi"/>
          <w:color w:val="002060"/>
          <w:lang w:val="es-ES"/>
        </w:rPr>
        <w:t>3920</w:t>
      </w:r>
      <w:r w:rsidR="00750991" w:rsidRPr="00750991">
        <w:rPr>
          <w:rFonts w:cstheme="minorHAnsi"/>
          <w:color w:val="002060"/>
          <w:lang w:val="es-ES"/>
        </w:rPr>
        <w:t>, –</w:t>
      </w:r>
    </w:p>
    <w:p w14:paraId="0B65D64F" w14:textId="6E1B6C1F"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1B37FA">
        <w:rPr>
          <w:rFonts w:cstheme="minorHAnsi"/>
          <w:color w:val="002060"/>
          <w:lang w:val="es-ES"/>
        </w:rPr>
        <w:t>4980</w:t>
      </w:r>
      <w:r w:rsidR="00750991" w:rsidRPr="00750991">
        <w:rPr>
          <w:rFonts w:cstheme="minorHAnsi"/>
          <w:color w:val="002060"/>
          <w:lang w:val="es-ES"/>
        </w:rPr>
        <w:t>, –</w:t>
      </w:r>
    </w:p>
    <w:p w14:paraId="5CDB4E51" w14:textId="39E1969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1B37FA">
        <w:rPr>
          <w:rFonts w:cstheme="minorHAnsi"/>
          <w:color w:val="002060"/>
          <w:lang w:val="es-ES"/>
        </w:rPr>
        <w:t>9310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415DEE6C"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1B37FA">
        <w:rPr>
          <w:rFonts w:cstheme="minorHAnsi"/>
          <w:color w:val="002060"/>
          <w:lang w:val="es-ES"/>
        </w:rPr>
        <w:t>930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1B37FA"/>
    <w:rsid w:val="001F1A3E"/>
    <w:rsid w:val="005542AA"/>
    <w:rsid w:val="005C5668"/>
    <w:rsid w:val="00652D85"/>
    <w:rsid w:val="006F4B59"/>
    <w:rsid w:val="00711F44"/>
    <w:rsid w:val="00750991"/>
    <w:rsid w:val="00942BA2"/>
    <w:rsid w:val="009A4F8D"/>
    <w:rsid w:val="00AE66DD"/>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14</cp:revision>
  <cp:lastPrinted>2024-10-07T13:18:00Z</cp:lastPrinted>
  <dcterms:created xsi:type="dcterms:W3CDTF">2024-10-07T11:53:00Z</dcterms:created>
  <dcterms:modified xsi:type="dcterms:W3CDTF">2024-10-08T07:47:00Z</dcterms:modified>
</cp:coreProperties>
</file>